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3C4EB21" w:rsidR="00B26598" w:rsidRPr="008C3FEF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8C3FEF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  <w:bookmarkStart w:id="0" w:name="_GoBack"/>
      <w:bookmarkEnd w:id="0"/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6509E1D" w:rsidR="00B26598" w:rsidRPr="009512B5" w:rsidRDefault="00AA48A2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62E20526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AA48A2">
        <w:rPr>
          <w:b/>
        </w:rPr>
        <w:t>ПМ.01 Ведение расчетных операций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08009BB5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AA48A2">
        <w:rPr>
          <w:b/>
          <w:u w:val="single"/>
          <w:lang w:val="en-US"/>
        </w:rPr>
        <w:t>VI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60346E31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Понятие и виды расчетов</w:t>
      </w:r>
    </w:p>
    <w:p w14:paraId="567429BD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Правовое регулирование расчетов наличными денежными средствами</w:t>
      </w:r>
    </w:p>
    <w:p w14:paraId="41720CA1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открытия и закрытия банковских счетов</w:t>
      </w:r>
    </w:p>
    <w:p w14:paraId="4F5B5594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Содержание и порядок формирования юридических дел клиентов</w:t>
      </w:r>
    </w:p>
    <w:p w14:paraId="7DEEE77A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Документы, предоставляемые для открытия счетов</w:t>
      </w:r>
    </w:p>
    <w:p w14:paraId="513335EB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В каких случаях закрываются расчетные (текущие) счета клиентов</w:t>
      </w:r>
    </w:p>
    <w:p w14:paraId="34A8694A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Очередность списания средств со счетов</w:t>
      </w:r>
    </w:p>
    <w:p w14:paraId="3BDC0B75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Проверка соблюдения организациями порядка работы с денежной наличностью</w:t>
      </w:r>
    </w:p>
    <w:p w14:paraId="03B05D9A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Прогнозирование налично-денежного оборота</w:t>
      </w:r>
    </w:p>
    <w:p w14:paraId="2003851C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Нормативные документы, регулирующие безналичные расчеты в РФ</w:t>
      </w:r>
    </w:p>
    <w:p w14:paraId="4216446F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Содержание (реквизиты) расчетных документов</w:t>
      </w:r>
    </w:p>
    <w:p w14:paraId="6B4C382E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Правила совершения операций по расчетным счетам</w:t>
      </w:r>
    </w:p>
    <w:p w14:paraId="66141F17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оформления, представления, отзыва и возврата расчетных документов</w:t>
      </w:r>
    </w:p>
    <w:p w14:paraId="2CF9A23A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Технология совершения расчетных операций с помощью платежных поручений</w:t>
      </w:r>
    </w:p>
    <w:p w14:paraId="7FD161FC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частичной оплаты платежного поручения</w:t>
      </w:r>
    </w:p>
    <w:p w14:paraId="1EA8F55D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Картотека № 2. Характеристика платежного ордера</w:t>
      </w:r>
    </w:p>
    <w:p w14:paraId="52D9AB27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Технология совершения расчетных операций с помощью платежных требований</w:t>
      </w:r>
    </w:p>
    <w:p w14:paraId="0387E41E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Технология совершения расчетных операций с помощью аккредитивов</w:t>
      </w:r>
    </w:p>
    <w:p w14:paraId="0F470A6C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Технология совершения расчетных операций с помощью инкассовых поручений</w:t>
      </w:r>
    </w:p>
    <w:p w14:paraId="33679B90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Технология совершения расчетных операций с помощью чеков</w:t>
      </w:r>
    </w:p>
    <w:p w14:paraId="28C7C459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отражения в учете операций по расчетным документам</w:t>
      </w:r>
    </w:p>
    <w:p w14:paraId="12C4466D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исполнения и возврата сумм, неправильно зачисленных на счета клиентов</w:t>
      </w:r>
    </w:p>
    <w:p w14:paraId="0ECE9100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Типичные нарушения при совершении расчетных операций по счетам клиентов</w:t>
      </w:r>
    </w:p>
    <w:p w14:paraId="259D78D4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Правовые документы, регулирующие организацию обслуживания счетов бюджетов бю</w:t>
      </w:r>
      <w:r w:rsidRPr="00AA48A2">
        <w:rPr>
          <w:color w:val="000000"/>
        </w:rPr>
        <w:t>д</w:t>
      </w:r>
      <w:r w:rsidRPr="00AA48A2">
        <w:rPr>
          <w:color w:val="000000"/>
        </w:rPr>
        <w:t>жетной системы РФ</w:t>
      </w:r>
    </w:p>
    <w:p w14:paraId="25312FF7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нумерации лицевых счетов по средствам бюджетов</w:t>
      </w:r>
    </w:p>
    <w:p w14:paraId="6B09CD20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и особенности проведения операций по счетам бюджетов всех уровней</w:t>
      </w:r>
    </w:p>
    <w:p w14:paraId="720F3FE1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открытия счетов по учету доходов и средств бюджетов всех уровней</w:t>
      </w:r>
    </w:p>
    <w:p w14:paraId="4E12934C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оформления и отражения в учете операций по зачислению средств на счета бю</w:t>
      </w:r>
      <w:r w:rsidRPr="00AA48A2">
        <w:rPr>
          <w:color w:val="000000"/>
        </w:rPr>
        <w:t>д</w:t>
      </w:r>
      <w:r w:rsidRPr="00AA48A2">
        <w:rPr>
          <w:color w:val="000000"/>
        </w:rPr>
        <w:t>жетов всех уровней</w:t>
      </w:r>
    </w:p>
    <w:p w14:paraId="39A9AE7D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отражения в учете возврата налогоплательщикам сумм ошибочно перечисленных налогов и других платежей</w:t>
      </w:r>
    </w:p>
    <w:p w14:paraId="3D97D01F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Понятие межбанковских расчетов</w:t>
      </w:r>
    </w:p>
    <w:p w14:paraId="0417FF85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Основные системы межбанковских расчетов</w:t>
      </w:r>
    </w:p>
    <w:p w14:paraId="27B24505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Структура платежной системы России</w:t>
      </w:r>
    </w:p>
    <w:p w14:paraId="7D0E9107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организации учета межбанковских расчетов</w:t>
      </w:r>
    </w:p>
    <w:p w14:paraId="32DEACEF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Банковские идентификационные коды</w:t>
      </w:r>
    </w:p>
    <w:p w14:paraId="239D1C2D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bCs/>
          <w:iCs/>
          <w:color w:val="000000"/>
          <w:shd w:val="clear" w:color="auto" w:fill="FFFFFF"/>
        </w:rPr>
        <w:t>Состав операционной кассы банка</w:t>
      </w:r>
    </w:p>
    <w:p w14:paraId="5D4EAB89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bCs/>
          <w:iCs/>
          <w:color w:val="000000"/>
          <w:shd w:val="clear" w:color="auto" w:fill="FFFFFF"/>
        </w:rPr>
        <w:lastRenderedPageBreak/>
        <w:t>Требования, предъявляемые к технической укрепленности и оснащенности помещений кассового узла банка</w:t>
      </w:r>
    </w:p>
    <w:p w14:paraId="2E1781A9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bCs/>
          <w:iCs/>
          <w:color w:val="000000"/>
          <w:shd w:val="clear" w:color="auto" w:fill="FFFFFF"/>
        </w:rPr>
        <w:t>Хранение денежной наличности и других ценностей в коммерческом банке</w:t>
      </w:r>
    </w:p>
    <w:p w14:paraId="56D5F088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bCs/>
          <w:iCs/>
          <w:color w:val="000000"/>
          <w:shd w:val="clear" w:color="auto" w:fill="FFFFFF"/>
        </w:rPr>
        <w:t>Установление лимита минимально допустимого остатка денежной наличности для кассы определенного коммерческого банка</w:t>
      </w:r>
    </w:p>
    <w:p w14:paraId="68797DD3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bCs/>
          <w:iCs/>
          <w:color w:val="000000"/>
          <w:shd w:val="clear" w:color="auto" w:fill="FFFFFF"/>
        </w:rPr>
        <w:t>Требования к ведению кассовой книги коммерческого банка</w:t>
      </w:r>
    </w:p>
    <w:p w14:paraId="17DD017D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bCs/>
          <w:iCs/>
          <w:color w:val="000000"/>
          <w:shd w:val="clear" w:color="auto" w:fill="FFFFFF"/>
        </w:rPr>
        <w:t>Порядок установления лимита остатка наличных денег в кассе</w:t>
      </w:r>
    </w:p>
    <w:p w14:paraId="148ED93A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bCs/>
          <w:iCs/>
          <w:color w:val="000000"/>
          <w:shd w:val="clear" w:color="auto" w:fill="FFFFFF"/>
        </w:rPr>
        <w:t>Порядок проведения кредитными организациями проверки соблюдения кассовой дисциплины</w:t>
      </w:r>
    </w:p>
    <w:p w14:paraId="47303E1E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bCs/>
          <w:iCs/>
          <w:color w:val="000000"/>
          <w:shd w:val="clear" w:color="auto" w:fill="FFFFFF"/>
        </w:rPr>
        <w:t>Признаки платежеспособности банкнот и монеты Банка России</w:t>
      </w:r>
    </w:p>
    <w:p w14:paraId="20CBD9A5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bCs/>
          <w:iCs/>
          <w:color w:val="000000"/>
          <w:shd w:val="clear" w:color="auto" w:fill="FFFFFF"/>
        </w:rPr>
        <w:t>Порядок работы с неплатежными денежными знаками</w:t>
      </w:r>
    </w:p>
    <w:p w14:paraId="47695320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bCs/>
          <w:iCs/>
          <w:color w:val="000000"/>
          <w:shd w:val="clear" w:color="auto" w:fill="FFFFFF"/>
        </w:rPr>
        <w:t>Порядок работы с денежными знаками, вызывающими сомнение в их подлинности</w:t>
      </w:r>
    </w:p>
    <w:p w14:paraId="2EA6D7B4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bCs/>
          <w:iCs/>
          <w:color w:val="000000"/>
          <w:shd w:val="clear" w:color="auto" w:fill="FFFFFF"/>
        </w:rPr>
        <w:t>Комплексное кассовое обслуживание физических и юридических лиц</w:t>
      </w:r>
    </w:p>
    <w:p w14:paraId="51ADEF81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bCs/>
          <w:iCs/>
          <w:color w:val="000000"/>
          <w:shd w:val="clear" w:color="auto" w:fill="FFFFFF"/>
        </w:rPr>
        <w:t>Порядок ревизии ценностей и проведения проверок кассовой работы</w:t>
      </w:r>
    </w:p>
    <w:p w14:paraId="18C9FCE9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Показатели, характеризующие эффективность межбанковских расчетов</w:t>
      </w:r>
    </w:p>
    <w:p w14:paraId="17F83058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Виды платежных систем кредитных организаций</w:t>
      </w:r>
    </w:p>
    <w:p w14:paraId="27634E34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Корреспондентские счета, открываемые на балансе кредитной организации для провед</w:t>
      </w:r>
      <w:r w:rsidRPr="00AA48A2">
        <w:rPr>
          <w:color w:val="000000"/>
        </w:rPr>
        <w:t>е</w:t>
      </w:r>
      <w:r w:rsidRPr="00AA48A2">
        <w:rPr>
          <w:color w:val="000000"/>
        </w:rPr>
        <w:t>ния межбанковских расчетов</w:t>
      </w:r>
    </w:p>
    <w:p w14:paraId="27BBD724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проведения и учет расчетов между кредитными организациями по счетам ЛОРО, НОСТРО</w:t>
      </w:r>
    </w:p>
    <w:p w14:paraId="6C394708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Учет расчетов между кредитными организациями через расчетные небанковские кредитные организации</w:t>
      </w:r>
    </w:p>
    <w:p w14:paraId="6C66FEA1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проведения и учет расчетных операций между филиалами внутри одной кредитной организации</w:t>
      </w:r>
    </w:p>
    <w:p w14:paraId="46436917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Контроль и выверка расчетов по корреспондентским счетам</w:t>
      </w:r>
    </w:p>
    <w:p w14:paraId="232361E9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Учет расчетных документов, не оплаченных в срок из-за отсутствия средств на корреспо</w:t>
      </w:r>
      <w:r w:rsidRPr="00AA48A2">
        <w:rPr>
          <w:color w:val="000000"/>
        </w:rPr>
        <w:t>н</w:t>
      </w:r>
      <w:r w:rsidRPr="00AA48A2">
        <w:rPr>
          <w:color w:val="000000"/>
        </w:rPr>
        <w:t>дентском счете</w:t>
      </w:r>
    </w:p>
    <w:p w14:paraId="1F6FF738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Специализированное программное обеспечение для расчетного обслуживания клиентов, совершения межбанковских расчетов</w:t>
      </w:r>
    </w:p>
    <w:p w14:paraId="256BF570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Типичные нарушения при совершении межбанковских расчетов</w:t>
      </w:r>
    </w:p>
    <w:p w14:paraId="39B39837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Правовые документы, регулирующие организацию расчетов через систему Банка России</w:t>
      </w:r>
    </w:p>
    <w:p w14:paraId="39E3373E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Расчеты через подразделения расчетной сети Банка России</w:t>
      </w:r>
    </w:p>
    <w:p w14:paraId="5CCB2761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проведения и учет расчетов по корреспондентским счетам, открываемым в РКЦ Банка России</w:t>
      </w:r>
    </w:p>
    <w:p w14:paraId="78B2969E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функционирования системы Банковских электронных срочных платежей (системы БЭСП)</w:t>
      </w:r>
    </w:p>
    <w:p w14:paraId="76491831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Системы ВЭР и МЭР</w:t>
      </w:r>
    </w:p>
    <w:p w14:paraId="6D32061C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Система расчетов с применением авизо</w:t>
      </w:r>
    </w:p>
    <w:p w14:paraId="3321592F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Нормативные правовые документы, регулирующие операции по международным расчетам, связанным с экспортом и импортом товаров и услуг</w:t>
      </w:r>
    </w:p>
    <w:p w14:paraId="2167210A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Нормы международного права, определяющие правила проведения международных расч</w:t>
      </w:r>
      <w:r w:rsidRPr="00AA48A2">
        <w:rPr>
          <w:color w:val="000000"/>
        </w:rPr>
        <w:t>е</w:t>
      </w:r>
      <w:r w:rsidRPr="00AA48A2">
        <w:rPr>
          <w:color w:val="000000"/>
        </w:rPr>
        <w:t>тов</w:t>
      </w:r>
    </w:p>
    <w:p w14:paraId="0C6B429F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и отражение в учете переоценки средств в иностранной валюте</w:t>
      </w:r>
    </w:p>
    <w:p w14:paraId="09E773E7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открытия и закрытия лицевых счетов клиентов в иностранной валюте</w:t>
      </w:r>
    </w:p>
    <w:p w14:paraId="0F5629DB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SWIFT в системе международных межбанковских расчетов</w:t>
      </w:r>
    </w:p>
    <w:p w14:paraId="77906E3A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Основные формы международных расчетов по экспортно-импортным операциям: аккредитив, инкассо, банковский перевод, чек</w:t>
      </w:r>
    </w:p>
    <w:p w14:paraId="7AE1A5B2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Виды платежных документов</w:t>
      </w:r>
    </w:p>
    <w:p w14:paraId="3D9E9CF8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проверки платежных документов их соответствия условиям и формам расчетов</w:t>
      </w:r>
    </w:p>
    <w:p w14:paraId="08F8A0F3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проведения операций международных расчетов с использованием различных форм</w:t>
      </w:r>
    </w:p>
    <w:p w14:paraId="45434F5C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lastRenderedPageBreak/>
        <w:t>Порядок отражения в учете операций международных расчетов с использованием разли</w:t>
      </w:r>
      <w:r w:rsidRPr="00AA48A2">
        <w:rPr>
          <w:color w:val="000000"/>
        </w:rPr>
        <w:t>ч</w:t>
      </w:r>
      <w:r w:rsidRPr="00AA48A2">
        <w:rPr>
          <w:color w:val="000000"/>
        </w:rPr>
        <w:t>ных форм</w:t>
      </w:r>
    </w:p>
    <w:p w14:paraId="42486865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выполнения уполномоченными банками функций агента валютного контроля</w:t>
      </w:r>
    </w:p>
    <w:p w14:paraId="6ED9BAB6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Осуществление контроля за репатриацией валютной выручки</w:t>
      </w:r>
    </w:p>
    <w:p w14:paraId="31DCD805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Меры, направленные на предотвращение использования транснациональных операций для преступных целей</w:t>
      </w:r>
    </w:p>
    <w:p w14:paraId="0058140F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Валютная позиция</w:t>
      </w:r>
    </w:p>
    <w:p w14:paraId="4E062790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расчета размеров открытых валютных позиций</w:t>
      </w:r>
    </w:p>
    <w:p w14:paraId="5D28AE48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Конверсионные операции по счетам клиентов</w:t>
      </w:r>
    </w:p>
    <w:p w14:paraId="7CB2E8C1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Системы международных финансовых телекоммуникаций</w:t>
      </w:r>
    </w:p>
    <w:p w14:paraId="769823D4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Виды платежных карт</w:t>
      </w:r>
    </w:p>
    <w:p w14:paraId="45A375A0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Специализированное программное обеспечение для совершения операций с платежными картами</w:t>
      </w:r>
    </w:p>
    <w:p w14:paraId="2AE44D79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bCs/>
          <w:color w:val="000000"/>
        </w:rPr>
        <w:t xml:space="preserve">Нормативно-правовые документы, регулирующие совершение операций с </w:t>
      </w:r>
      <w:r w:rsidRPr="00AA48A2">
        <w:rPr>
          <w:color w:val="000000"/>
        </w:rPr>
        <w:t>использованием платежных карт</w:t>
      </w:r>
    </w:p>
    <w:p w14:paraId="137CE657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Операции, проводимые с использованием платежных карт</w:t>
      </w:r>
    </w:p>
    <w:p w14:paraId="399D40BE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Условия и порядок выдачи платежных карт</w:t>
      </w:r>
    </w:p>
    <w:p w14:paraId="60C98825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Технологии расчетов с использованием платежных карт</w:t>
      </w:r>
    </w:p>
    <w:p w14:paraId="2E78EC74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Порядок учета расчетов с использованием платежных карт</w:t>
      </w:r>
    </w:p>
    <w:p w14:paraId="7013DF07" w14:textId="77777777" w:rsidR="00AA48A2" w:rsidRPr="00AA48A2" w:rsidRDefault="00AA48A2" w:rsidP="00AA48A2">
      <w:pPr>
        <w:widowControl w:val="0"/>
        <w:numPr>
          <w:ilvl w:val="0"/>
          <w:numId w:val="17"/>
        </w:numPr>
        <w:tabs>
          <w:tab w:val="left" w:pos="360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AA48A2">
        <w:rPr>
          <w:color w:val="000000"/>
        </w:rPr>
        <w:t>Нарушения при совершении операций с платежными картами</w:t>
      </w:r>
    </w:p>
    <w:p w14:paraId="455FF4EC" w14:textId="77777777" w:rsidR="00AA48A2" w:rsidRPr="00CB381B" w:rsidRDefault="00AA48A2" w:rsidP="00AA48A2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14:paraId="400D7EA9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p w14:paraId="60C0E093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p w14:paraId="3C55652A" w14:textId="1691A6F2" w:rsidR="00540D96" w:rsidRPr="00540D96" w:rsidRDefault="00540D9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B4716"/>
    <w:multiLevelType w:val="hybridMultilevel"/>
    <w:tmpl w:val="C5E6A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654181"/>
    <w:multiLevelType w:val="hybridMultilevel"/>
    <w:tmpl w:val="88E8B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9F42F9"/>
    <w:multiLevelType w:val="hybridMultilevel"/>
    <w:tmpl w:val="665E8244"/>
    <w:lvl w:ilvl="0" w:tplc="3B5A43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3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3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3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05B9B"/>
    <w:rsid w:val="00346D43"/>
    <w:rsid w:val="00364B28"/>
    <w:rsid w:val="00473C41"/>
    <w:rsid w:val="004B3A06"/>
    <w:rsid w:val="005026CD"/>
    <w:rsid w:val="00540D96"/>
    <w:rsid w:val="00570DE0"/>
    <w:rsid w:val="005F1879"/>
    <w:rsid w:val="006913DA"/>
    <w:rsid w:val="006C0DBE"/>
    <w:rsid w:val="007C31AD"/>
    <w:rsid w:val="007C5AA5"/>
    <w:rsid w:val="00821BD0"/>
    <w:rsid w:val="008C3FEF"/>
    <w:rsid w:val="00902CD6"/>
    <w:rsid w:val="00A035FB"/>
    <w:rsid w:val="00AA48A2"/>
    <w:rsid w:val="00B26598"/>
    <w:rsid w:val="00BA60C9"/>
    <w:rsid w:val="00BC263C"/>
    <w:rsid w:val="00C04CC0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styleId="2">
    <w:name w:val="Body Text 2"/>
    <w:basedOn w:val="a"/>
    <w:link w:val="20"/>
    <w:unhideWhenUsed/>
    <w:rsid w:val="00305B9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305B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26</cp:revision>
  <dcterms:created xsi:type="dcterms:W3CDTF">2022-07-18T07:11:00Z</dcterms:created>
  <dcterms:modified xsi:type="dcterms:W3CDTF">2022-08-09T06:51:00Z</dcterms:modified>
</cp:coreProperties>
</file>